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6F" w:rsidRDefault="00676AA4">
      <w:pPr>
        <w:spacing w:before="47"/>
        <w:ind w:left="312"/>
        <w:rPr>
          <w:rFonts w:ascii="Tahoma" w:hAnsi="Tahoma"/>
          <w:sz w:val="56"/>
        </w:rPr>
      </w:pPr>
      <w:r>
        <w:rPr>
          <w:lang w:val="fi"/>
        </w:rPr>
        <w:pict>
          <v:group id="_x0000_s1026" style="position:absolute;left:0;text-align:left;margin-left:-.5pt;margin-top:25pt;width:596.35pt;height:817.45pt;z-index:-251658240;mso-position-horizontal-relative:page;mso-position-vertical-relative:page" coordorigin="-10,500" coordsize="11927,163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;top:500;width:11902;height:2392">
              <v:imagedata r:id="rId5" o:title=""/>
            </v:shape>
            <v:shape id="_x0000_s1030" style="position:absolute;left:-3379;top:16838;width:7064;height:7370" coordorigin="-3379,16838" coordsize="7064,7370" o:spt="100" adj="0,,0" path="m3379,4275r-76,1l3227,4278r-75,4l3077,4287r-75,7l2928,4302r-74,10l2781,4323r-72,13l2636,4350r-71,15l2493,4382r-70,18l2353,4420r-70,21l2214,4463r-68,23l2078,4511r-67,26l1945,4565r-66,28l1814,4623r-65,31l1685,4686r-63,34l1560,4754r-61,36l1438,4827r-60,38l1319,4904r-59,41l1203,4986r-57,42l1090,5072r-55,44l981,5162r-53,47l875,5256r-51,49l773,5354r-49,51l675,5456r-47,53l581,5562r-46,54l491,5671r-44,56l405,5784r-41,57l323,5900r-39,59l246,6019r-37,61l173,6141r-34,62l105,6266r-32,64l42,6395r-30,65l,6488m,9432r12,28l42,9525r31,65l105,9654r34,63l173,9779r36,61l246,9901r38,60l323,10020r41,59l405,10136r42,57l491,10249r44,55l581,10358r47,53l675,10464r49,51l773,10566r51,49l875,10664r53,47l981,10758r54,46l1090,10848r56,44l1203,10934r57,41l1319,11016r59,39l1438,11093r61,37l1560,11166r62,34l1685,11234r64,32l1814,11297r65,30l1945,11355r66,28l2078,11409r68,25l2214,11457r69,22l2353,11500r70,20l2493,11538r72,17l2636,11570r73,14l2781,11597r73,11l2928,11618r74,8l3077,11633r75,5l3227,11642r76,2l3379,11645r76,-1l3531,11642r75,-4l3681,11633r75,-7l3830,11618r74,-10l3977,11597r72,-13l4122,11570r71,-15l4265,11538r70,-18l4405,11500r70,-21l4544,11457r68,-23l4680,11409r67,-26l4813,11355r66,-28l4944,11297r65,-31l5073,11234r63,-34l5198,11166r61,-36l5320,11093r60,-38l5439,11016r59,-41l5555,10934r57,-42l5668,10848r55,-44l5777,10758r53,-47l5883,10664r51,-49l5985,10566r49,-51l6083,10464r47,-53l6177,10358r46,-54l6267,10249r44,-56l6353,10136r41,-57l6435,10020r39,-59l6512,9901r37,-61l6585,9779r34,-62l6653,9654r32,-64l6716,9525r30,-65l6774,9394r28,-66l6828,9261r25,-68l6876,9125r22,-69l6919,8986r20,-70l6957,8846r17,-72l6989,8703r14,-73l7016,8558r11,-73l7037,8411r8,-74l7052,8262r5,-75l7061,8112r2,-76l7064,7960r-1,-76l7061,7808r-4,-75l7052,7658r-7,-75l7037,7509r-10,-74l7016,7362r-13,-72l6989,7217r-15,-71l6957,7074r-18,-70l6919,6934r-21,-70l6876,6795r-23,-68l6828,6659r-26,-67l6774,6526r-28,-66l6716,6395r-31,-65l6653,6266r-34,-63l6585,6141r-36,-61l6512,6019r-38,-60l6435,5900r-41,-59l6353,5784r-42,-57l6267,5671r-44,-55l6177,5562r-47,-53l6083,5456r-49,-51l5985,5354r-51,-49l5883,5256r-53,-47l5777,5162r-54,-46l5668,5072r-56,-44l5555,4986r-57,-41l5439,4904r-59,-39l5320,4827r-61,-37l5198,4754r-62,-34l5073,4686r-64,-32l4944,4623r-65,-30l4813,4565r-66,-28l4680,4511r-68,-25l4544,4463r-69,-22l4405,4420r-70,-20l4265,4382r-72,-17l4122,4350r-73,-14l3977,4323r-73,-11l3830,4302r-74,-8l3681,4287r-75,-5l3531,4278r-76,-2l3379,4275e" filled="f" strokecolor="#d2d7fa" strokeweight="1pt">
              <v:stroke joinstyle="round"/>
              <v:formulas/>
              <v:path arrowok="t" o:connecttype="segments"/>
            </v:shape>
            <v:line id="_x0000_s1029" style="position:absolute" from="8874,2755" to="6354,5815" strokecolor="#d2d7fa" strokeweight="1pt"/>
            <v:shape id="_x0000_s1028" style="position:absolute;left:-2880;top:16838;width:5193;height:4594" coordorigin="-2880,16838" coordsize="5193,4594" o:spt="100" adj="0,,0" path="m9594,12245r-73,1l9448,12249r-72,5l9304,12260r-71,9l9162,12279r-70,12l9022,12305r-69,16l8885,12338r-68,20l8750,12378r-66,23l8618,12425r-65,26l8489,12478r-64,29l8363,12538r-62,32l8240,12604r-60,35l8121,12675r-59,38l8005,12752r-56,41l7893,12835r-54,44l7785,12924r-52,46l7681,13017r-50,49l7582,13116r-48,51l7487,13219r-46,54l7396,13327r-43,56l7311,13440r-41,58l7230,13557r-38,60l7155,13678r-36,62l7084,13803r-33,63l7020,13931r-30,66l6961,14063r-27,68l6908,14199r-24,69l6861,14338r-21,70l6820,14480r-18,72l6786,14624r-15,73l6758,14771r-12,75l6736,14921r-8,76l6722,15073r-4,77l6715,15227r-1,78l6715,15383r3,77l6722,15537r6,76l6736,15689r10,75l6758,15839r13,74l6786,15986r16,72l6820,16130r20,72l6861,16272r23,70l6908,16411r26,68l6961,16547r29,66l7020,16679r31,65l7084,16807r17,31m11906,13481r-29,-41l11835,13383r-43,-56l11747,13273r-46,-54l11654,13167r-48,-51l11557,13066r-50,-49l11455,12970r-52,-46l11349,12879r-54,-44l11239,12793r-56,-41l11126,12713r-59,-38l11008,12639r-60,-35l10887,12570r-62,-32l10763,12507r-64,-29l10635,12451r-65,-26l10504,12401r-66,-23l10371,12358r-68,-20l10235,12321r-69,-16l10096,12291r-70,-12l9955,12269r-71,-9l9812,12254r-72,-5l9667,12246r-73,-1e" filled="f" strokecolor="#d2d7fa" strokeweight="1pt">
              <v:stroke joinstyle="round"/>
              <v:formulas/>
              <v:path arrowok="t" o:connecttype="segments"/>
            </v:shape>
            <v:line id="_x0000_s1027" style="position:absolute" from="5814,10755" to="7974,12785" strokecolor="#d2d7fa" strokeweight="1pt"/>
            <w10:wrap anchorx="page" anchory="page"/>
          </v:group>
        </w:pict>
      </w:r>
      <w:r w:rsidR="00F8003F">
        <w:rPr>
          <w:rFonts w:ascii="Tahoma" w:hAnsi="Tahoma"/>
          <w:sz w:val="56"/>
          <w:lang w:val="fi"/>
        </w:rPr>
        <w:t>neodisher</w:t>
      </w:r>
      <w:r w:rsidR="00F8003F">
        <w:rPr>
          <w:rFonts w:ascii="Trebuchet MS" w:hAnsi="Trebuchet MS"/>
          <w:sz w:val="34"/>
          <w:lang w:val="fi"/>
        </w:rPr>
        <w:t xml:space="preserve">® </w:t>
      </w:r>
      <w:r w:rsidR="00F8003F">
        <w:rPr>
          <w:rFonts w:ascii="Tahoma" w:hAnsi="Tahoma"/>
          <w:sz w:val="56"/>
          <w:lang w:val="fi"/>
        </w:rPr>
        <w:t>MediZym</w:t>
      </w:r>
    </w:p>
    <w:p w:rsidR="00990E6F" w:rsidRPr="00827ACE" w:rsidRDefault="00F8003F">
      <w:pPr>
        <w:spacing w:before="162" w:line="247" w:lineRule="auto"/>
        <w:ind w:left="312" w:right="7021"/>
        <w:rPr>
          <w:rFonts w:ascii="Trebuchet MS"/>
          <w:sz w:val="20"/>
          <w:lang w:val="fi-FI"/>
        </w:rPr>
      </w:pPr>
      <w:proofErr w:type="gramStart"/>
      <w:r>
        <w:rPr>
          <w:rFonts w:ascii="Trebuchet MS" w:hAnsi="Trebuchet MS"/>
          <w:sz w:val="20"/>
          <w:lang w:val="fi"/>
        </w:rPr>
        <w:t>Nestemäinen, pH-neutraali puhdistusaine erikoispesukoneille.</w:t>
      </w:r>
      <w:proofErr w:type="gramEnd"/>
    </w:p>
    <w:p w:rsidR="00990E6F" w:rsidRPr="00827ACE" w:rsidRDefault="00990E6F">
      <w:pPr>
        <w:pStyle w:val="Leipteksti"/>
        <w:rPr>
          <w:rFonts w:ascii="Trebuchet MS"/>
          <w:sz w:val="20"/>
          <w:lang w:val="fi-FI"/>
        </w:rPr>
      </w:pPr>
    </w:p>
    <w:p w:rsidR="00990E6F" w:rsidRPr="00827ACE" w:rsidRDefault="00990E6F">
      <w:pPr>
        <w:pStyle w:val="Leipteksti"/>
        <w:rPr>
          <w:rFonts w:ascii="Trebuchet MS"/>
          <w:sz w:val="20"/>
          <w:lang w:val="fi-FI"/>
        </w:rPr>
      </w:pPr>
    </w:p>
    <w:p w:rsidR="00990E6F" w:rsidRPr="00827ACE" w:rsidRDefault="00990E6F">
      <w:pPr>
        <w:pStyle w:val="Leipteksti"/>
        <w:rPr>
          <w:rFonts w:ascii="Trebuchet MS"/>
          <w:sz w:val="20"/>
          <w:lang w:val="fi-FI"/>
        </w:rPr>
      </w:pPr>
    </w:p>
    <w:p w:rsidR="00990E6F" w:rsidRPr="00827ACE" w:rsidRDefault="00990E6F">
      <w:pPr>
        <w:pStyle w:val="Leipteksti"/>
        <w:rPr>
          <w:rFonts w:ascii="Trebuchet MS"/>
          <w:sz w:val="20"/>
          <w:lang w:val="fi-FI"/>
        </w:rPr>
      </w:pPr>
    </w:p>
    <w:p w:rsidR="00990E6F" w:rsidRPr="00827ACE" w:rsidRDefault="00990E6F">
      <w:pPr>
        <w:pStyle w:val="Leipteksti"/>
        <w:spacing w:before="5"/>
        <w:rPr>
          <w:rFonts w:ascii="Trebuchet MS"/>
          <w:sz w:val="18"/>
          <w:lang w:val="fi-FI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315"/>
      </w:tblGrid>
      <w:tr w:rsidR="00990E6F" w:rsidRPr="00827ACE">
        <w:trPr>
          <w:trHeight w:hRule="exact" w:val="538"/>
        </w:trPr>
        <w:tc>
          <w:tcPr>
            <w:tcW w:w="3057" w:type="dxa"/>
          </w:tcPr>
          <w:p w:rsidR="00990E6F" w:rsidRDefault="00F8003F">
            <w:pPr>
              <w:pStyle w:val="TableParagraph"/>
              <w:spacing w:before="8"/>
              <w:ind w:left="200"/>
              <w:rPr>
                <w:rFonts w:ascii="Trebuchet MS"/>
                <w:sz w:val="24"/>
              </w:rPr>
            </w:pPr>
            <w:bookmarkStart w:id="0" w:name="Main_fields_of_application:"/>
            <w:bookmarkEnd w:id="0"/>
            <w:r>
              <w:rPr>
                <w:rFonts w:ascii="Trebuchet MS" w:hAnsi="Trebuchet MS"/>
                <w:sz w:val="24"/>
                <w:lang w:val="fi"/>
              </w:rPr>
              <w:t>Pääasiallinen käyttötarkoitus:</w:t>
            </w:r>
          </w:p>
        </w:tc>
        <w:tc>
          <w:tcPr>
            <w:tcW w:w="7315" w:type="dxa"/>
          </w:tcPr>
          <w:p w:rsidR="00990E6F" w:rsidRPr="00827ACE" w:rsidRDefault="00F8003F">
            <w:pPr>
              <w:pStyle w:val="TableParagraph"/>
              <w:spacing w:before="3" w:line="235" w:lineRule="auto"/>
              <w:ind w:right="1226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Leikkausinstrumenttien, anestesialaitteiden, taipuisien endoskooppien, astioiden sekä muiden lääkinnällisten välineiden mekaaninen puhdistus.</w:t>
            </w:r>
          </w:p>
        </w:tc>
      </w:tr>
      <w:tr w:rsidR="00990E6F" w:rsidRPr="00827ACE">
        <w:trPr>
          <w:trHeight w:hRule="exact" w:val="1603"/>
        </w:trPr>
        <w:tc>
          <w:tcPr>
            <w:tcW w:w="3057" w:type="dxa"/>
          </w:tcPr>
          <w:p w:rsidR="00990E6F" w:rsidRDefault="00F8003F">
            <w:pPr>
              <w:pStyle w:val="TableParagraph"/>
              <w:spacing w:before="116"/>
              <w:ind w:left="200"/>
              <w:rPr>
                <w:rFonts w:ascii="Trebuchet MS"/>
                <w:sz w:val="24"/>
              </w:rPr>
            </w:pPr>
            <w:r>
              <w:rPr>
                <w:rFonts w:ascii="Trebuchet MS" w:hAnsi="Trebuchet MS"/>
                <w:sz w:val="24"/>
                <w:lang w:val="fi"/>
              </w:rPr>
              <w:t>Ominaisuudet:</w:t>
            </w:r>
          </w:p>
        </w:tc>
        <w:tc>
          <w:tcPr>
            <w:tcW w:w="7315" w:type="dxa"/>
          </w:tcPr>
          <w:p w:rsidR="00990E6F" w:rsidRPr="00827ACE" w:rsidRDefault="00F8003F">
            <w:pPr>
              <w:pStyle w:val="TableParagraph"/>
              <w:spacing w:before="106" w:line="216" w:lineRule="exact"/>
              <w:ind w:right="327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neodisher MediZym on erityisen ympäristöystävällinen pH-neutraali puhdistusaine, joka sisältää entsyymejä ja muita puhdistusapuaineita. neodisher MediZym poistaa kuivuneet ja denaturoidut verijäämät erittäin hellävaraisesti ja välineitä vahingoittamatta.</w:t>
            </w:r>
          </w:p>
          <w:p w:rsidR="00990E6F" w:rsidRPr="00827ACE" w:rsidRDefault="00F8003F">
            <w:pPr>
              <w:pStyle w:val="TableParagraph"/>
              <w:spacing w:before="93" w:line="216" w:lineRule="exact"/>
              <w:ind w:right="327"/>
              <w:rPr>
                <w:sz w:val="18"/>
                <w:lang w:val="fi-FI"/>
              </w:rPr>
            </w:pPr>
            <w:proofErr w:type="spellStart"/>
            <w:r>
              <w:rPr>
                <w:sz w:val="18"/>
                <w:lang w:val="fi"/>
              </w:rPr>
              <w:t>neodisher</w:t>
            </w:r>
            <w:proofErr w:type="spellEnd"/>
            <w:r>
              <w:rPr>
                <w:sz w:val="18"/>
                <w:lang w:val="fi"/>
              </w:rPr>
              <w:t xml:space="preserve"> </w:t>
            </w:r>
            <w:proofErr w:type="spellStart"/>
            <w:r>
              <w:rPr>
                <w:sz w:val="18"/>
                <w:lang w:val="fi"/>
              </w:rPr>
              <w:t>MediZym</w:t>
            </w:r>
            <w:proofErr w:type="spellEnd"/>
            <w:r>
              <w:rPr>
                <w:sz w:val="18"/>
                <w:lang w:val="fi"/>
              </w:rPr>
              <w:t xml:space="preserve"> -puhdistusaineen työskentelyliuos ei vahingoita ruostumatonta terästä, instrumenttiterästä, kevyitä metalleja, lasia, tyypillisesti käytettäviä muoveja tai anestesialaitteiden ja taipuisien endoskooppien materiaaleja.</w:t>
            </w:r>
          </w:p>
        </w:tc>
      </w:tr>
      <w:tr w:rsidR="00990E6F">
        <w:trPr>
          <w:trHeight w:hRule="exact" w:val="2965"/>
        </w:trPr>
        <w:tc>
          <w:tcPr>
            <w:tcW w:w="3057" w:type="dxa"/>
          </w:tcPr>
          <w:p w:rsidR="00990E6F" w:rsidRDefault="00F8003F">
            <w:pPr>
              <w:pStyle w:val="TableParagraph"/>
              <w:spacing w:before="116"/>
              <w:ind w:left="200"/>
              <w:rPr>
                <w:rFonts w:ascii="Trebuchet MS"/>
                <w:sz w:val="24"/>
              </w:rPr>
            </w:pPr>
            <w:r>
              <w:rPr>
                <w:rFonts w:ascii="Trebuchet MS" w:hAnsi="Trebuchet MS"/>
                <w:sz w:val="24"/>
                <w:lang w:val="fi"/>
              </w:rPr>
              <w:t>Käyttö ja annostus:</w:t>
            </w:r>
          </w:p>
        </w:tc>
        <w:tc>
          <w:tcPr>
            <w:tcW w:w="7315" w:type="dxa"/>
          </w:tcPr>
          <w:p w:rsidR="00990E6F" w:rsidRPr="00827ACE" w:rsidRDefault="00F8003F">
            <w:pPr>
              <w:pStyle w:val="TableParagraph"/>
              <w:spacing w:before="106" w:line="216" w:lineRule="exact"/>
              <w:ind w:right="4069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Instrumenttien konepesuun: 0,2‒1 % (2‒10 ml/l) 40‒50 °C:ssa</w:t>
            </w:r>
          </w:p>
          <w:p w:rsidR="00990E6F" w:rsidRPr="00827ACE" w:rsidRDefault="00F8003F">
            <w:pPr>
              <w:pStyle w:val="TableParagraph"/>
              <w:spacing w:before="1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Taipuisien endoskooppien konepesuun: 0,5 % (5 ml/l)</w:t>
            </w:r>
          </w:p>
          <w:p w:rsidR="00990E6F" w:rsidRPr="00827ACE" w:rsidRDefault="00F8003F">
            <w:pPr>
              <w:pStyle w:val="TableParagraph"/>
              <w:spacing w:before="89" w:line="218" w:lineRule="exact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Käsipuhdistukseen:</w:t>
            </w:r>
          </w:p>
          <w:p w:rsidR="00990E6F" w:rsidRPr="00827ACE" w:rsidRDefault="00F8003F">
            <w:pPr>
              <w:pStyle w:val="TableParagraph"/>
              <w:spacing w:line="215" w:lineRule="exact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upotuspesu: 0,5–2 %, 20–30 min</w:t>
            </w:r>
          </w:p>
          <w:p w:rsidR="00990E6F" w:rsidRPr="00827ACE" w:rsidRDefault="00F8003F">
            <w:pPr>
              <w:pStyle w:val="TableParagraph"/>
              <w:spacing w:line="215" w:lineRule="exact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ultraäänipesu: 0,5–2 %, 5–10 min</w:t>
            </w:r>
          </w:p>
          <w:p w:rsidR="00990E6F" w:rsidRPr="00827ACE" w:rsidRDefault="00F8003F">
            <w:pPr>
              <w:pStyle w:val="TableParagraph"/>
              <w:spacing w:line="218" w:lineRule="exact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Puhdistusliuos voidaan halutessa lämmittää enintään 45 °</w:t>
            </w:r>
            <w:proofErr w:type="spellStart"/>
            <w:r>
              <w:rPr>
                <w:sz w:val="18"/>
                <w:lang w:val="fi"/>
              </w:rPr>
              <w:t>C:seen</w:t>
            </w:r>
            <w:proofErr w:type="spellEnd"/>
            <w:r>
              <w:rPr>
                <w:sz w:val="18"/>
                <w:lang w:val="fi"/>
              </w:rPr>
              <w:t>.</w:t>
            </w:r>
          </w:p>
          <w:p w:rsidR="00990E6F" w:rsidRPr="00827ACE" w:rsidRDefault="00F8003F">
            <w:pPr>
              <w:pStyle w:val="TableParagraph"/>
              <w:spacing w:before="93"/>
              <w:rPr>
                <w:sz w:val="18"/>
                <w:lang w:val="fi-FI"/>
              </w:rPr>
            </w:pPr>
            <w:proofErr w:type="spellStart"/>
            <w:r>
              <w:rPr>
                <w:sz w:val="18"/>
                <w:lang w:val="fi"/>
              </w:rPr>
              <w:t>neodisher</w:t>
            </w:r>
            <w:proofErr w:type="spellEnd"/>
            <w:r>
              <w:rPr>
                <w:sz w:val="18"/>
                <w:lang w:val="fi"/>
              </w:rPr>
              <w:t xml:space="preserve"> </w:t>
            </w:r>
            <w:proofErr w:type="spellStart"/>
            <w:r>
              <w:rPr>
                <w:sz w:val="18"/>
                <w:lang w:val="fi"/>
              </w:rPr>
              <w:t>MediZym</w:t>
            </w:r>
            <w:proofErr w:type="spellEnd"/>
            <w:r>
              <w:rPr>
                <w:sz w:val="18"/>
                <w:lang w:val="fi"/>
              </w:rPr>
              <w:t xml:space="preserve"> -puhdistusaineen työskentelyliuos tulee vaihtaa vähintään kerran päivässä.</w:t>
            </w:r>
          </w:p>
          <w:p w:rsidR="00990E6F" w:rsidRDefault="00F8003F">
            <w:pPr>
              <w:pStyle w:val="TableParagraph"/>
              <w:spacing w:before="88" w:line="216" w:lineRule="exact"/>
              <w:ind w:right="1226"/>
              <w:rPr>
                <w:sz w:val="18"/>
              </w:rPr>
            </w:pPr>
            <w:bookmarkStart w:id="1" w:name="completely_by_sufficient_rinsing._Do_not"/>
            <w:bookmarkStart w:id="2" w:name="Subsequently_the_neodisher_MediZym-solut"/>
            <w:bookmarkEnd w:id="1"/>
            <w:bookmarkEnd w:id="2"/>
            <w:r>
              <w:rPr>
                <w:sz w:val="18"/>
                <w:lang w:val="fi"/>
              </w:rPr>
              <w:t xml:space="preserve">Käytön jälkeen </w:t>
            </w:r>
            <w:proofErr w:type="spellStart"/>
            <w:r>
              <w:rPr>
                <w:sz w:val="18"/>
                <w:lang w:val="fi"/>
              </w:rPr>
              <w:t>neodisher</w:t>
            </w:r>
            <w:proofErr w:type="spellEnd"/>
            <w:r>
              <w:rPr>
                <w:sz w:val="18"/>
                <w:lang w:val="fi"/>
              </w:rPr>
              <w:t xml:space="preserve"> </w:t>
            </w:r>
            <w:proofErr w:type="spellStart"/>
            <w:r>
              <w:rPr>
                <w:sz w:val="18"/>
                <w:lang w:val="fi"/>
              </w:rPr>
              <w:t>MediZym</w:t>
            </w:r>
            <w:proofErr w:type="spellEnd"/>
            <w:r>
              <w:rPr>
                <w:sz w:val="18"/>
                <w:lang w:val="fi"/>
              </w:rPr>
              <w:t xml:space="preserve"> -liuos tulee huuhdella välineistä huolellisesti. Älä sekoita tuotetta muiden tuotteiden kanssa.</w:t>
            </w:r>
          </w:p>
          <w:p w:rsidR="00990E6F" w:rsidRDefault="00F8003F">
            <w:pPr>
              <w:pStyle w:val="TableParagraph"/>
              <w:spacing w:before="96"/>
              <w:rPr>
                <w:sz w:val="18"/>
              </w:rPr>
            </w:pPr>
            <w:bookmarkStart w:id="3" w:name="Only_for_professional_use."/>
            <w:bookmarkEnd w:id="3"/>
            <w:r>
              <w:rPr>
                <w:sz w:val="18"/>
                <w:lang w:val="fi"/>
              </w:rPr>
              <w:t>Vain ammattikäyttöön.</w:t>
            </w:r>
          </w:p>
        </w:tc>
      </w:tr>
      <w:tr w:rsidR="00990E6F" w:rsidRPr="00827ACE">
        <w:trPr>
          <w:trHeight w:hRule="exact" w:val="862"/>
        </w:trPr>
        <w:tc>
          <w:tcPr>
            <w:tcW w:w="3057" w:type="dxa"/>
          </w:tcPr>
          <w:p w:rsidR="00990E6F" w:rsidRDefault="00F8003F">
            <w:pPr>
              <w:pStyle w:val="TableParagraph"/>
              <w:spacing w:before="117"/>
              <w:ind w:left="200"/>
              <w:rPr>
                <w:rFonts w:ascii="Trebuchet MS"/>
                <w:sz w:val="24"/>
              </w:rPr>
            </w:pPr>
            <w:r>
              <w:rPr>
                <w:rFonts w:ascii="Trebuchet MS" w:hAnsi="Trebuchet MS"/>
                <w:sz w:val="24"/>
                <w:lang w:val="fi"/>
              </w:rPr>
              <w:t>Tekniset tiedot:</w:t>
            </w:r>
          </w:p>
        </w:tc>
        <w:tc>
          <w:tcPr>
            <w:tcW w:w="7315" w:type="dxa"/>
          </w:tcPr>
          <w:p w:rsidR="00990E6F" w:rsidRDefault="00F8003F">
            <w:pPr>
              <w:pStyle w:val="TableParagraph"/>
              <w:spacing w:before="106" w:line="221" w:lineRule="exact"/>
              <w:rPr>
                <w:sz w:val="11"/>
              </w:rPr>
            </w:pPr>
            <w:r>
              <w:rPr>
                <w:sz w:val="18"/>
                <w:lang w:val="fi"/>
              </w:rPr>
              <w:t>Tiheys (20 °C): 1,0 g/cm³</w:t>
            </w:r>
          </w:p>
          <w:p w:rsidR="00990E6F" w:rsidRPr="00827ACE" w:rsidRDefault="00F8003F">
            <w:pPr>
              <w:pStyle w:val="TableParagraph"/>
              <w:spacing w:before="3" w:line="232" w:lineRule="auto"/>
              <w:ind w:right="1312"/>
              <w:rPr>
                <w:sz w:val="18"/>
                <w:lang w:val="fi-FI"/>
              </w:rPr>
            </w:pPr>
            <w:bookmarkStart w:id="4" w:name="Viscosity_(concentrate,_20_°C):_&lt;_10_mPa"/>
            <w:bookmarkEnd w:id="4"/>
            <w:r>
              <w:rPr>
                <w:sz w:val="18"/>
                <w:lang w:val="fi"/>
              </w:rPr>
              <w:t xml:space="preserve">pH-alue (määritelty deionisoidussa vedessä, 20 °C) 0,2‒2 %: 7,6–7,7 Viskoosisuus (tiiviste, 20 °C): &lt; 10 </w:t>
            </w:r>
            <w:proofErr w:type="spellStart"/>
            <w:r>
              <w:rPr>
                <w:sz w:val="18"/>
                <w:lang w:val="fi"/>
              </w:rPr>
              <w:t>mPa</w:t>
            </w:r>
            <w:proofErr w:type="spellEnd"/>
            <w:r>
              <w:rPr>
                <w:sz w:val="18"/>
                <w:lang w:val="fi"/>
              </w:rPr>
              <w:t xml:space="preserve"> s</w:t>
            </w:r>
          </w:p>
        </w:tc>
      </w:tr>
      <w:tr w:rsidR="00990E6F" w:rsidRPr="00827ACE" w:rsidTr="00827ACE">
        <w:trPr>
          <w:trHeight w:hRule="exact" w:val="1162"/>
        </w:trPr>
        <w:tc>
          <w:tcPr>
            <w:tcW w:w="3057" w:type="dxa"/>
          </w:tcPr>
          <w:p w:rsidR="00990E6F" w:rsidRDefault="00F8003F">
            <w:pPr>
              <w:pStyle w:val="TableParagraph"/>
              <w:spacing w:before="117"/>
              <w:ind w:left="200"/>
              <w:rPr>
                <w:rFonts w:ascii="Trebuchet MS"/>
                <w:sz w:val="24"/>
              </w:rPr>
            </w:pPr>
            <w:r>
              <w:rPr>
                <w:rFonts w:ascii="Trebuchet MS" w:hAnsi="Trebuchet MS"/>
                <w:sz w:val="24"/>
                <w:lang w:val="fi"/>
              </w:rPr>
              <w:t>Aineosat:</w:t>
            </w:r>
          </w:p>
        </w:tc>
        <w:tc>
          <w:tcPr>
            <w:tcW w:w="7315" w:type="dxa"/>
          </w:tcPr>
          <w:p w:rsidR="00990E6F" w:rsidRPr="00827ACE" w:rsidRDefault="00F8003F">
            <w:pPr>
              <w:pStyle w:val="TableParagraph"/>
              <w:spacing w:before="108" w:line="217" w:lineRule="exact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Pesuaineita koskevan asetuksen (EY) N:o 648/2004 mukaiset aineosat:</w:t>
            </w:r>
          </w:p>
          <w:p w:rsidR="00990E6F" w:rsidRPr="00827ACE" w:rsidRDefault="00F8003F">
            <w:pPr>
              <w:pStyle w:val="TableParagraph"/>
              <w:spacing w:line="235" w:lineRule="auto"/>
              <w:ind w:right="4981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&lt; 5 % anionisia pinta-aktiivisia aineita sekä entsyymejä ja säilöntäaineita</w:t>
            </w:r>
          </w:p>
          <w:p w:rsidR="00990E6F" w:rsidRPr="00827ACE" w:rsidRDefault="00F8003F">
            <w:pPr>
              <w:pStyle w:val="TableParagraph"/>
              <w:spacing w:line="217" w:lineRule="exact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(</w:t>
            </w:r>
            <w:proofErr w:type="spellStart"/>
            <w:r>
              <w:rPr>
                <w:sz w:val="18"/>
                <w:lang w:val="fi"/>
              </w:rPr>
              <w:t>fenoksietanoli</w:t>
            </w:r>
            <w:proofErr w:type="spellEnd"/>
            <w:r>
              <w:rPr>
                <w:sz w:val="18"/>
                <w:lang w:val="fi"/>
              </w:rPr>
              <w:t xml:space="preserve">, metyyli-, etyyli-, </w:t>
            </w:r>
            <w:proofErr w:type="spellStart"/>
            <w:r>
              <w:rPr>
                <w:sz w:val="18"/>
                <w:lang w:val="fi"/>
              </w:rPr>
              <w:t>butyyli-</w:t>
            </w:r>
            <w:proofErr w:type="spellEnd"/>
            <w:r>
              <w:rPr>
                <w:sz w:val="18"/>
                <w:lang w:val="fi"/>
              </w:rPr>
              <w:t>, propyyli- ja isopropyyliparabeeni)</w:t>
            </w:r>
          </w:p>
        </w:tc>
      </w:tr>
      <w:tr w:rsidR="00990E6F" w:rsidRPr="00827ACE">
        <w:trPr>
          <w:trHeight w:hRule="exact" w:val="646"/>
        </w:trPr>
        <w:tc>
          <w:tcPr>
            <w:tcW w:w="3057" w:type="dxa"/>
          </w:tcPr>
          <w:p w:rsidR="00990E6F" w:rsidRDefault="00F8003F">
            <w:pPr>
              <w:pStyle w:val="TableParagraph"/>
              <w:spacing w:before="116"/>
              <w:ind w:left="200"/>
              <w:rPr>
                <w:rFonts w:ascii="Trebuchet MS"/>
                <w:sz w:val="24"/>
              </w:rPr>
            </w:pPr>
            <w:proofErr w:type="spellStart"/>
            <w:r>
              <w:rPr>
                <w:rFonts w:ascii="Trebuchet MS" w:hAnsi="Trebuchet MS"/>
                <w:sz w:val="24"/>
                <w:lang w:val="fi"/>
              </w:rPr>
              <w:t>CE-merkinnät</w:t>
            </w:r>
            <w:proofErr w:type="spellEnd"/>
            <w:r>
              <w:rPr>
                <w:rFonts w:ascii="Trebuchet MS" w:hAnsi="Trebuchet MS"/>
                <w:sz w:val="24"/>
                <w:lang w:val="fi"/>
              </w:rPr>
              <w:t>:</w:t>
            </w:r>
          </w:p>
        </w:tc>
        <w:tc>
          <w:tcPr>
            <w:tcW w:w="7315" w:type="dxa"/>
          </w:tcPr>
          <w:p w:rsidR="00990E6F" w:rsidRPr="00827ACE" w:rsidRDefault="00F8003F">
            <w:pPr>
              <w:pStyle w:val="TableParagraph"/>
              <w:spacing w:before="106" w:line="216" w:lineRule="exact"/>
              <w:ind w:right="658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neodisher MediZym täyttää lääkintälaitedirektiivin 93/42/ETY määräykset.</w:t>
            </w:r>
          </w:p>
        </w:tc>
      </w:tr>
      <w:tr w:rsidR="00990E6F" w:rsidRPr="00827ACE" w:rsidTr="00827ACE">
        <w:trPr>
          <w:trHeight w:hRule="exact" w:val="621"/>
        </w:trPr>
        <w:tc>
          <w:tcPr>
            <w:tcW w:w="3057" w:type="dxa"/>
          </w:tcPr>
          <w:p w:rsidR="00990E6F" w:rsidRDefault="00F8003F">
            <w:pPr>
              <w:pStyle w:val="TableParagraph"/>
              <w:spacing w:before="116"/>
              <w:ind w:left="200"/>
              <w:rPr>
                <w:rFonts w:ascii="Trebuchet MS"/>
                <w:sz w:val="24"/>
              </w:rPr>
            </w:pPr>
            <w:r>
              <w:rPr>
                <w:rFonts w:ascii="Trebuchet MS" w:hAnsi="Trebuchet MS"/>
                <w:sz w:val="24"/>
                <w:lang w:val="fi"/>
              </w:rPr>
              <w:t>Säilytystiedot:</w:t>
            </w:r>
          </w:p>
        </w:tc>
        <w:tc>
          <w:tcPr>
            <w:tcW w:w="7315" w:type="dxa"/>
          </w:tcPr>
          <w:p w:rsidR="00990E6F" w:rsidRPr="00827ACE" w:rsidRDefault="00F8003F">
            <w:pPr>
              <w:pStyle w:val="TableParagraph"/>
              <w:spacing w:before="107"/>
              <w:rPr>
                <w:sz w:val="18"/>
                <w:lang w:val="fi-FI"/>
              </w:rPr>
            </w:pPr>
            <w:bookmarkStart w:id="5" w:name="Store_in_a_cool,_frost-free_place._Usabl"/>
            <w:bookmarkEnd w:id="5"/>
            <w:r>
              <w:rPr>
                <w:sz w:val="18"/>
                <w:lang w:val="fi"/>
              </w:rPr>
              <w:t>Säilytettävä viileässä ja suojattuna pakkaselta. Suositusten mukaisesti säilytettynä tuote säilyy käyttökelpoisena 2 vuotta.</w:t>
            </w:r>
          </w:p>
        </w:tc>
      </w:tr>
      <w:tr w:rsidR="00990E6F" w:rsidRPr="00827ACE">
        <w:trPr>
          <w:trHeight w:hRule="exact" w:val="1986"/>
        </w:trPr>
        <w:tc>
          <w:tcPr>
            <w:tcW w:w="3057" w:type="dxa"/>
          </w:tcPr>
          <w:p w:rsidR="00990E6F" w:rsidRDefault="00F8003F">
            <w:pPr>
              <w:pStyle w:val="TableParagraph"/>
              <w:spacing w:before="81" w:line="244" w:lineRule="auto"/>
              <w:ind w:left="200" w:right="194"/>
              <w:rPr>
                <w:rFonts w:ascii="Trebuchet MS"/>
                <w:sz w:val="24"/>
              </w:rPr>
            </w:pPr>
            <w:r>
              <w:rPr>
                <w:rFonts w:ascii="Trebuchet MS" w:hAnsi="Trebuchet MS"/>
                <w:sz w:val="24"/>
                <w:lang w:val="fi"/>
              </w:rPr>
              <w:t>Vaara- ja turvalausekkeet:</w:t>
            </w:r>
          </w:p>
        </w:tc>
        <w:tc>
          <w:tcPr>
            <w:tcW w:w="7315" w:type="dxa"/>
          </w:tcPr>
          <w:p w:rsidR="00990E6F" w:rsidRPr="00827ACE" w:rsidRDefault="00F8003F">
            <w:pPr>
              <w:pStyle w:val="TableParagraph"/>
              <w:spacing w:before="71" w:line="216" w:lineRule="exact"/>
              <w:ind w:right="658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neodisher MediZym ei ole vaarallinen aine CLP-asetuksen (EY) N:o 1272/2008 nojalla.</w:t>
            </w:r>
          </w:p>
          <w:p w:rsidR="00990E6F" w:rsidRPr="00827ACE" w:rsidRDefault="00F8003F">
            <w:pPr>
              <w:pStyle w:val="TableParagraph"/>
              <w:spacing w:before="93" w:line="216" w:lineRule="exact"/>
              <w:ind w:right="124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>Hävitä pakkaus ainoastaan tyhjänä ja suljettuna. Katso tuotteen jäämien hävittämisohjeet käyttöturvallisuustiedotteesta.</w:t>
            </w:r>
          </w:p>
          <w:p w:rsidR="00990E6F" w:rsidRPr="00827ACE" w:rsidRDefault="00F8003F">
            <w:pPr>
              <w:pStyle w:val="TableParagraph"/>
              <w:spacing w:before="93" w:line="216" w:lineRule="exact"/>
              <w:ind w:right="1226"/>
              <w:rPr>
                <w:sz w:val="18"/>
                <w:lang w:val="fi-FI"/>
              </w:rPr>
            </w:pPr>
            <w:r>
              <w:rPr>
                <w:sz w:val="18"/>
                <w:lang w:val="fi"/>
              </w:rPr>
              <w:t xml:space="preserve">Katso lisää turvallisuustietoja EY-käyttöturvallisuustiedotteista. Tiedotteet ovat saatavilla englanniksi osoitteessa </w:t>
            </w:r>
            <w:hyperlink r:id="rId6">
              <w:r>
                <w:rPr>
                  <w:sz w:val="18"/>
                  <w:lang w:val="fi"/>
                </w:rPr>
                <w:t>www.drweigert.com</w:t>
              </w:r>
            </w:hyperlink>
            <w:r>
              <w:rPr>
                <w:sz w:val="18"/>
                <w:lang w:val="fi"/>
              </w:rPr>
              <w:t xml:space="preserve"> kohdassa ”Service / </w:t>
            </w:r>
            <w:proofErr w:type="spellStart"/>
            <w:r>
              <w:rPr>
                <w:sz w:val="18"/>
                <w:lang w:val="fi"/>
              </w:rPr>
              <w:t>Downloads</w:t>
            </w:r>
            <w:proofErr w:type="spellEnd"/>
            <w:r>
              <w:rPr>
                <w:sz w:val="18"/>
                <w:lang w:val="fi"/>
              </w:rPr>
              <w:t>”.</w:t>
            </w:r>
          </w:p>
        </w:tc>
      </w:tr>
      <w:tr w:rsidR="00990E6F">
        <w:trPr>
          <w:trHeight w:hRule="exact" w:val="646"/>
        </w:trPr>
        <w:tc>
          <w:tcPr>
            <w:tcW w:w="3057" w:type="dxa"/>
          </w:tcPr>
          <w:p w:rsidR="00990E6F" w:rsidRPr="00827ACE" w:rsidRDefault="00990E6F">
            <w:pPr>
              <w:pStyle w:val="TableParagraph"/>
              <w:ind w:left="0"/>
              <w:rPr>
                <w:rFonts w:ascii="Trebuchet MS"/>
                <w:sz w:val="20"/>
                <w:lang w:val="fi-FI"/>
              </w:rPr>
            </w:pPr>
          </w:p>
          <w:p w:rsidR="00990E6F" w:rsidRPr="00827ACE" w:rsidRDefault="00990E6F">
            <w:pPr>
              <w:pStyle w:val="TableParagraph"/>
              <w:spacing w:before="1"/>
              <w:ind w:left="0"/>
              <w:rPr>
                <w:rFonts w:ascii="Trebuchet MS"/>
                <w:sz w:val="17"/>
                <w:lang w:val="fi-FI"/>
              </w:rPr>
            </w:pPr>
          </w:p>
          <w:p w:rsidR="00990E6F" w:rsidRDefault="00F8003F"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sz w:val="18"/>
                <w:lang w:val="fi"/>
              </w:rPr>
              <w:t>MB 4040 GB/2-5</w:t>
            </w:r>
          </w:p>
        </w:tc>
        <w:tc>
          <w:tcPr>
            <w:tcW w:w="7315" w:type="dxa"/>
          </w:tcPr>
          <w:p w:rsidR="00990E6F" w:rsidRDefault="00990E6F"/>
        </w:tc>
      </w:tr>
      <w:tr w:rsidR="00990E6F">
        <w:trPr>
          <w:trHeight w:hRule="exact" w:val="214"/>
        </w:trPr>
        <w:tc>
          <w:tcPr>
            <w:tcW w:w="3057" w:type="dxa"/>
          </w:tcPr>
          <w:p w:rsidR="00990E6F" w:rsidRDefault="00F8003F">
            <w:pPr>
              <w:pStyle w:val="TableParagraph"/>
              <w:spacing w:line="219" w:lineRule="exact"/>
              <w:ind w:left="200"/>
              <w:rPr>
                <w:sz w:val="18"/>
              </w:rPr>
            </w:pPr>
            <w:r>
              <w:rPr>
                <w:sz w:val="18"/>
                <w:lang w:val="fi"/>
              </w:rPr>
              <w:t>10/14</w:t>
            </w:r>
          </w:p>
        </w:tc>
        <w:tc>
          <w:tcPr>
            <w:tcW w:w="7315" w:type="dxa"/>
          </w:tcPr>
          <w:p w:rsidR="00990E6F" w:rsidRDefault="00990E6F"/>
        </w:tc>
      </w:tr>
    </w:tbl>
    <w:p w:rsidR="00990E6F" w:rsidRDefault="00990E6F">
      <w:pPr>
        <w:pStyle w:val="Leipteksti"/>
        <w:rPr>
          <w:rFonts w:ascii="Trebuchet MS"/>
          <w:sz w:val="22"/>
        </w:rPr>
      </w:pPr>
    </w:p>
    <w:p w:rsidR="00676AA4" w:rsidRDefault="00676AA4" w:rsidP="00676AA4">
      <w:pPr>
        <w:pStyle w:val="Leipteksti"/>
        <w:tabs>
          <w:tab w:val="left" w:pos="5993"/>
          <w:tab w:val="left" w:pos="6096"/>
          <w:tab w:val="left" w:pos="6521"/>
        </w:tabs>
        <w:spacing w:line="166" w:lineRule="exact"/>
        <w:ind w:left="3372" w:right="847" w:hanging="1"/>
        <w:rPr>
          <w:lang w:val="fi-FI"/>
        </w:rPr>
      </w:pPr>
      <w:r>
        <w:rPr>
          <w:noProof/>
          <w:lang w:val="fi-FI" w:eastAsia="fi-FI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723265</wp:posOffset>
            </wp:positionH>
            <wp:positionV relativeFrom="paragraph">
              <wp:posOffset>102235</wp:posOffset>
            </wp:positionV>
            <wp:extent cx="1797050" cy="23495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2BC"/>
          <w:lang w:val="de-DE"/>
        </w:rPr>
        <w:t>Chemische Fabrik Dr. Weigert GmbH &amp; Co. KG</w:t>
      </w:r>
      <w:r>
        <w:rPr>
          <w:color w:val="0072BC"/>
          <w:lang w:val="de-DE"/>
        </w:rPr>
        <w:tab/>
      </w:r>
      <w:r>
        <w:rPr>
          <w:color w:val="0072BC"/>
          <w:lang w:val="de-DE"/>
        </w:rPr>
        <w:tab/>
      </w:r>
      <w:r>
        <w:rPr>
          <w:color w:val="0072BC"/>
          <w:lang w:val="de-DE"/>
        </w:rPr>
        <w:tab/>
      </w:r>
      <w:proofErr w:type="gramStart"/>
      <w:r>
        <w:rPr>
          <w:color w:val="0072BC"/>
          <w:lang w:val="de-DE"/>
        </w:rPr>
        <w:t>Puh.:</w:t>
      </w:r>
      <w:proofErr w:type="gramEnd"/>
      <w:r>
        <w:rPr>
          <w:color w:val="0072BC"/>
          <w:lang w:val="de-DE"/>
        </w:rPr>
        <w:t xml:space="preserve">  (040) 789 60 0</w:t>
      </w:r>
      <w:r>
        <w:rPr>
          <w:color w:val="0072BC"/>
          <w:lang w:val="de-DE"/>
        </w:rPr>
        <w:tab/>
      </w:r>
      <w:proofErr w:type="spellStart"/>
      <w:r>
        <w:rPr>
          <w:color w:val="0072BC"/>
          <w:lang w:val="de-DE"/>
        </w:rPr>
        <w:t>Sähköposti</w:t>
      </w:r>
      <w:proofErr w:type="spellEnd"/>
      <w:r>
        <w:rPr>
          <w:color w:val="0072BC"/>
          <w:lang w:val="de-DE"/>
        </w:rPr>
        <w:t xml:space="preserve">: info@drweigert.de </w:t>
      </w:r>
      <w:proofErr w:type="spellStart"/>
      <w:r>
        <w:rPr>
          <w:color w:val="0072BC"/>
          <w:lang w:val="de-DE"/>
        </w:rPr>
        <w:t>Mühlenhagen</w:t>
      </w:r>
      <w:proofErr w:type="spellEnd"/>
      <w:r>
        <w:rPr>
          <w:color w:val="0072BC"/>
          <w:lang w:val="de-DE"/>
        </w:rPr>
        <w:t xml:space="preserve"> 85, D – 20539 Hamburg, Deutschland</w:t>
      </w:r>
      <w:r>
        <w:rPr>
          <w:color w:val="0072BC"/>
          <w:lang w:val="de-DE"/>
        </w:rPr>
        <w:tab/>
        <w:t>Fax: (040) 789 60 120</w:t>
      </w:r>
      <w:r>
        <w:rPr>
          <w:color w:val="0072BC"/>
          <w:lang w:val="de-DE"/>
        </w:rPr>
        <w:tab/>
      </w:r>
      <w:proofErr w:type="spellStart"/>
      <w:r>
        <w:rPr>
          <w:color w:val="0072BC"/>
          <w:lang w:val="de-DE"/>
        </w:rPr>
        <w:t>Verkkosivut</w:t>
      </w:r>
      <w:proofErr w:type="spellEnd"/>
      <w:r>
        <w:rPr>
          <w:color w:val="0072BC"/>
          <w:lang w:val="de-DE"/>
        </w:rPr>
        <w:t xml:space="preserve">: </w:t>
      </w:r>
      <w:hyperlink r:id="rId8" w:history="1">
        <w:r>
          <w:rPr>
            <w:rStyle w:val="Hyperlinkki"/>
            <w:color w:val="0072BC"/>
            <w:lang w:val="de-DE"/>
          </w:rPr>
          <w:t>www.</w:t>
        </w:r>
      </w:hyperlink>
      <w:r>
        <w:rPr>
          <w:color w:val="0072BC"/>
          <w:lang w:val="de-DE"/>
        </w:rPr>
        <w:t xml:space="preserve"> </w:t>
      </w:r>
      <w:proofErr w:type="spellStart"/>
      <w:r>
        <w:rPr>
          <w:color w:val="0072BC"/>
          <w:lang w:val="fi-FI"/>
        </w:rPr>
        <w:t>drweigert.de</w:t>
      </w:r>
      <w:proofErr w:type="spellEnd"/>
    </w:p>
    <w:p w:rsidR="00676AA4" w:rsidRDefault="00676AA4" w:rsidP="00676AA4">
      <w:pPr>
        <w:pStyle w:val="Leipteksti"/>
        <w:spacing w:before="73" w:line="232" w:lineRule="auto"/>
        <w:ind w:left="3372" w:right="782"/>
        <w:rPr>
          <w:lang w:val="fi-FI"/>
        </w:rPr>
      </w:pPr>
      <w:r>
        <w:rPr>
          <w:color w:val="0072BC"/>
          <w:lang w:val="fi-FI"/>
        </w:rPr>
        <w:t>Näissä asiakirjoissa olevat ohjeet perustuvat tämänhetkiseen tietoomme ja kokemukseemme. Ne eivät vapauta käyttäjää omasta harkinnasta tai tutkimuksesta. Näistä asiakirjoista ei voi johtaa tiettyjä ominaisuuksia koskevaa oikeudellisesti sitovaa vakuutusta.</w:t>
      </w:r>
    </w:p>
    <w:p w:rsidR="00676AA4" w:rsidRDefault="00676AA4" w:rsidP="00676AA4">
      <w:pPr>
        <w:pStyle w:val="Leipteksti"/>
        <w:spacing w:before="69" w:line="169" w:lineRule="exact"/>
        <w:ind w:left="3372"/>
        <w:rPr>
          <w:lang w:val="fi-FI"/>
        </w:rPr>
      </w:pPr>
      <w:r>
        <w:rPr>
          <w:color w:val="0072BC"/>
          <w:lang w:val="fi-FI"/>
        </w:rPr>
        <w:t>Edellä mainitut tiedot esitetään parhaan tietämyksemme mukaisesti. Ne kuvaavat</w:t>
      </w:r>
      <w:r>
        <w:rPr>
          <w:lang w:val="fi-FI"/>
        </w:rPr>
        <w:t xml:space="preserve"> </w:t>
      </w:r>
      <w:r>
        <w:rPr>
          <w:color w:val="0072BC"/>
          <w:lang w:val="fi-FI"/>
        </w:rPr>
        <w:t>tuotettamme mahdollisten turvallisuustarpeiden suhteen, mutta eivät sisällä tuotteen laadun kuvausta tai lupaa tiettyjä ominaisuuksia.</w:t>
      </w:r>
    </w:p>
    <w:p w:rsidR="00990E6F" w:rsidRPr="00827ACE" w:rsidRDefault="00990E6F" w:rsidP="00676AA4">
      <w:pPr>
        <w:pStyle w:val="Leipteksti"/>
        <w:tabs>
          <w:tab w:val="left" w:pos="5993"/>
          <w:tab w:val="left" w:pos="7697"/>
        </w:tabs>
        <w:spacing w:line="166" w:lineRule="exact"/>
        <w:ind w:left="3372" w:right="1430" w:hanging="1"/>
        <w:rPr>
          <w:lang w:val="fi-FI"/>
        </w:rPr>
      </w:pPr>
      <w:bookmarkStart w:id="6" w:name="_GoBack"/>
      <w:bookmarkEnd w:id="6"/>
    </w:p>
    <w:sectPr w:rsidR="00990E6F" w:rsidRPr="00827ACE">
      <w:type w:val="continuous"/>
      <w:pgSz w:w="11910" w:h="16840"/>
      <w:pgMar w:top="860" w:right="5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90E6F"/>
    <w:rsid w:val="00676AA4"/>
    <w:rsid w:val="00827ACE"/>
    <w:rsid w:val="00990E6F"/>
    <w:rsid w:val="00F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172"/>
    </w:pPr>
  </w:style>
  <w:style w:type="character" w:customStyle="1" w:styleId="LeiptekstiChar">
    <w:name w:val="Leipäteksti Char"/>
    <w:basedOn w:val="Kappaleenoletusfontti"/>
    <w:link w:val="Leipteksti"/>
    <w:uiPriority w:val="1"/>
    <w:rsid w:val="00676AA4"/>
    <w:rPr>
      <w:rFonts w:ascii="Calibri" w:eastAsia="Calibri" w:hAnsi="Calibri" w:cs="Calibri"/>
      <w:sz w:val="14"/>
      <w:szCs w:val="14"/>
    </w:rPr>
  </w:style>
  <w:style w:type="character" w:styleId="Hyperlinkki">
    <w:name w:val="Hyperlink"/>
    <w:basedOn w:val="Kappaleenoletusfontti"/>
    <w:uiPriority w:val="99"/>
    <w:semiHidden/>
    <w:unhideWhenUsed/>
    <w:rsid w:val="00676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rweigert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Hauptanwendungsbereiche:</dc:title>
  <dc:creator>.</dc:creator>
  <cp:lastModifiedBy>JE</cp:lastModifiedBy>
  <cp:revision>4</cp:revision>
  <dcterms:created xsi:type="dcterms:W3CDTF">2017-02-15T14:33:00Z</dcterms:created>
  <dcterms:modified xsi:type="dcterms:W3CDTF">2017-03-03T12:02:00Z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2017-02-15T00:00:00Z</vt:filetime>
  </property>
</Properties>
</file>